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镇江市2024年度考试录用公务员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153"/>
        <w:gridCol w:w="3459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市纪委监委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89666892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市法院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85319232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市检察院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88806958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致公党市委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80826899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市总工会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84422913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市委党校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88620551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市档案馆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88790101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88956083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市民政局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89988203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市司法局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80820817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市财政局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80909883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市人社局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85341266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市自然资源和规划局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80759121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市住建局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85581829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市交通运输局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80828071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市农业农村局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84414887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市审计局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84410771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市生态环境局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80822876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84417006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市统计局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89666602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89666608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市医保局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85341567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市供销合作总社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88802318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88824488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京口区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80857558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润州区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85635885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丹徒区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88970009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镇江新区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83378271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丹阳市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86231966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扬中市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88133218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句容市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0511-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87310078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17204E2E"/>
    <w:rsid w:val="177656A2"/>
    <w:rsid w:val="1CFE7583"/>
    <w:rsid w:val="240E4297"/>
    <w:rsid w:val="272102F1"/>
    <w:rsid w:val="29225B02"/>
    <w:rsid w:val="2E5D31BD"/>
    <w:rsid w:val="3D7A6B5E"/>
    <w:rsid w:val="4A071EE3"/>
    <w:rsid w:val="4F9B5BF9"/>
    <w:rsid w:val="5CCB4542"/>
    <w:rsid w:val="5D422D09"/>
    <w:rsid w:val="60FA3876"/>
    <w:rsid w:val="62625A42"/>
    <w:rsid w:val="63AE2EA0"/>
    <w:rsid w:val="693272C0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B41760CCEED648A6B5D9AA54650DD227_13</vt:lpwstr>
  </property>
</Properties>
</file>