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宋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2023年泉州水务集团有限公司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公开招聘企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业简介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</w:rPr>
        <w:t>泉州水务集团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  <w:lang w:eastAsia="zh-CN"/>
        </w:rPr>
        <w:t>有限公司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成立于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2017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月，定位为“泉州市水资源开发利用平台和国有资本投资运营公司”，五年来全面贯彻落实习近平总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书记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关于治水兴水的重要论述和在福建工作时的重要理念、重大实践，深入践行“节水优先、空间均衡、系统治理、两手发力”治水思路，通过“产业+资本”的行业整合重组和深耕产业链，目前已形成“原水、制水、供水、排水、污水、节水”六位一体、“水利原水、城乡供水、环保科技、清洁能源、工程服务、股权投资、市政排水、水务大脑”八大板块协同发力、“直饮水、分散式污水处理、水务大脑、水质检测、兴源新材料、自来水表、净水新材料、智控新材料、节水科技、水务供应链”十大品牌齐头并进的高质量发展格局，为全市经济社会发展提供水资源的支撑和保障，水务产业链现代化水平走在全国前列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集团连续两届获评“福建省文明单位”，获得主体评级和债项评级双AA+，率先成立泉州国企第一家省级院士工作站、第一家国家级学会服务站、成功打造泉州第一家国有控股上市公司（蠡湖股份）、创设第一个民生国企直播间，并且连续三年获市属国有企业任期经营业绩考核第一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  <w:highlight w:val="none"/>
          <w:shd w:val="clear" w:color="auto" w:fill="FFFFFF"/>
        </w:rPr>
        <w:t>水务集团本次公开招聘的权属企业概况如下：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highlight w:val="none"/>
          <w:lang w:val="en-US" w:eastAsia="zh-CN"/>
        </w:rPr>
        <w:t>1.泉州市政排水有限公司：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系泉州水务集团全资子公司，注册资本5亿元，以“泉州市市政排水设施运维管理平台”为发展定位，承接中心市区污水处理、排水管网及内沟河水系整治、建设、日常管理和运营维护等业务，推进排水一体化、污水收集处理提质增效及内沟河水质提升工作，着力补强水务集团“市政排水”板块。公司现有全资及控股企业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家，分别为泉州市政检测技术服务有限公司、泉州丰泽水务有限公司、泉州鲤城水务有限公司、泉州市洛江万弘水务有限公司、泉州经济技术开发区水务发展有限公司、福建海丝正元信息科技有限公司、福建领尊工程技术有限公司，全力推进中心市区排水设施的排查、建设以及运营管理维护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公司地址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：福建省泉州市丰泽区城东街道城华南路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号防汛抗旱抢险大楼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 xml:space="preserve">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联系人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0595-28282766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 xml:space="preserve"> 许女士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邮箱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qzszpsrl@163.com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highlight w:val="none"/>
          <w:lang w:eastAsia="zh-CN"/>
        </w:rPr>
        <w:t>泉州原水运营有限公司：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lang w:eastAsia="zh-CN"/>
        </w:rPr>
        <w:t>公司于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2021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11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lang w:eastAsia="zh-CN"/>
        </w:rPr>
        <w:t>月由泉州市人民政府授权设立，负责对全市原水实行“五统一”管理（即“统一调度、统一管理、统一水价、统一收取水利工程水费、统一建设新项目”），负责全市统筹范围内水利原水工程运营管理、水利工程水费的统收统配和市级水利工程项目的建设工作。公司是泉州水务集团有限公司的权属一级企业，作为全市原水一体化运营管理主体，始终坚持以“守护生命之源，共享绿色生态”为使命，配合协同政府水行政管理部门实施水资源优化配置工作，构建可持续高质量发展的水资源开发利用平台和工作机制，提升全市民生和经济发展的原水供水安全保障水平，协力推进我市水利事业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公司地址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：福建省泉州市丰泽区丰泽街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608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号建行大厦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 xml:space="preserve">楼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联系人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0595-28930866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 xml:space="preserve"> 陈女士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邮箱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qzysgs2021@163.com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  <w:highlight w:val="none"/>
          <w:shd w:val="clear" w:color="auto" w:fill="FFFFFF"/>
        </w:rPr>
        <w:t>泉州水务工程建设集团有限公司：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系泉州水务集团权属企业，已有40多年的发展历程，集团注册资本1.32亿元，资产总额14.20亿元。现有职工415人，高层次人才2人，持有各类注册证书88人、中级及以上职称144人。水务工程集团现有权属企业市政工程分公司、水利水电工程分公司、园林工程分公司、规划设计分公司、工程勘察分公司、古城建设分公司、泉州市市政园林古建筑设计院有限公司，是具备工程咨询、勘察、设计、监理、施工总承包项目全过程建筑企业。集团通过全国AA级信用企业、ISO三标认证，荣获2022年福建省水利工程建设“质量月”活动先进单位、泉州市模范职工之家、泉州市青年文明号、鲤城区2022年度重点企业和市级文明单位等多项荣誉，连续三年被泉州市鲤城区人民政府授予“纳税大户”称号。集团承接的项目也多次获得中国建设工程鲁班奖，建设部综合奖金奖等荣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公司地址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 xml:space="preserve">：福建省泉州市湖心街东泽路32号泉州市水利水电综合楼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联系人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0595-28282274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 xml:space="preserve"> 许女士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邮箱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qzswgcrl@163.com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4.泉州市自来水有限公司：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highlight w:val="none"/>
          <w:lang w:val="en-US" w:eastAsia="zh-CN"/>
        </w:rPr>
        <w:t>创建于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1964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highlight w:val="none"/>
          <w:lang w:val="en-US" w:eastAsia="zh-CN"/>
        </w:rPr>
        <w:t>年，注册资本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20000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highlight w:val="none"/>
          <w:lang w:val="en-US" w:eastAsia="zh-CN"/>
        </w:rPr>
        <w:t>万元，资产总额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27.67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highlight w:val="none"/>
          <w:lang w:val="en-US" w:eastAsia="zh-CN"/>
        </w:rPr>
        <w:t>亿元，现拥有全资子公司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highlight w:val="none"/>
          <w:lang w:val="en-US" w:eastAsia="zh-CN"/>
        </w:rPr>
        <w:t>家、控股公司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highlight w:val="none"/>
          <w:lang w:val="en-US" w:eastAsia="zh-CN"/>
        </w:rPr>
        <w:t>家、合作子公司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highlight w:val="none"/>
          <w:lang w:val="en-US" w:eastAsia="zh-CN"/>
        </w:rPr>
        <w:t>家、参股公司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highlight w:val="none"/>
          <w:lang w:val="en-US" w:eastAsia="zh-CN"/>
        </w:rPr>
        <w:t>家；拥有水厂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highlight w:val="none"/>
          <w:lang w:val="en-US" w:eastAsia="zh-CN"/>
        </w:rPr>
        <w:t>座，供水能力为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70.5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highlight w:val="none"/>
          <w:lang w:val="en-US" w:eastAsia="zh-CN"/>
        </w:rPr>
        <w:t>万吨/日，供水范围覆盖鲤城区、丰泽区、洛江区，泉州经济开发区、台商投资区、永春县、南安市丰州镇以及晋江部分区域，供水区域供水普及率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98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highlight w:val="none"/>
          <w:lang w:val="en-US" w:eastAsia="zh-CN"/>
        </w:rPr>
        <w:t>%以上，用水户达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57.4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highlight w:val="none"/>
          <w:lang w:val="en-US" w:eastAsia="zh-CN"/>
        </w:rPr>
        <w:t>万户，出厂水水质综合合格率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99.99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highlight w:val="none"/>
          <w:lang w:val="en-US" w:eastAsia="zh-CN"/>
        </w:rPr>
        <w:t>%以上。先后荣获省级先进企业、省级文明单位、省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300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highlight w:val="none"/>
          <w:lang w:val="en-US" w:eastAsia="zh-CN"/>
        </w:rPr>
        <w:t>家最佳形象企业、市级文明单位、建设工作先进单位、创卫先进单位、精神文明创建活动示范点、劳动用工规范管理先进企业等荣誉。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公司地址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 xml:space="preserve">：福建省泉州市丰泽区东湖街760号泉水大厦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联系人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0595-22982992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 xml:space="preserve"> 黄女士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邮箱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zls22982992@163.com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NTkzNjMzNzk2YTU0MTg0OWIxNGQwZWFhOTE5Y2EifQ=="/>
  </w:docVars>
  <w:rsids>
    <w:rsidRoot w:val="63322146"/>
    <w:rsid w:val="63322146"/>
    <w:rsid w:val="68DE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发文样式1"/>
    <w:basedOn w:val="1"/>
    <w:qFormat/>
    <w:uiPriority w:val="0"/>
    <w:pPr>
      <w:spacing w:line="576" w:lineRule="exact"/>
      <w:ind w:firstLine="883" w:firstLineChars="200"/>
    </w:pPr>
    <w:rPr>
      <w:rFonts w:ascii="Times New Roman" w:hAnsi="Times New Roman" w:eastAsia="方正仿宋简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2023-10-25T08:55:00Z</dcterms:created>
  <dc:creator>黄怡楸</dc:creator>
  <cp:lastModifiedBy>黄怡楸</cp:lastModifiedBy>
  <dcterms:modified xsi:type="dcterms:W3CDTF">2023-10-25T09:06:17Z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9F93465E08824B6AB2DC933C9F897AA4_11</vt:lpwstr>
  </property>
</Properties>
</file>